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5130951" w:rsidR="006937DF" w:rsidRPr="00DA2248" w:rsidRDefault="00C86042" w:rsidP="00093CA9">
            <w:pPr>
              <w:rPr>
                <w:lang w:val="sv-SE"/>
              </w:rPr>
            </w:pPr>
            <w:r>
              <w:rPr>
                <w:lang w:val="sv-SE"/>
              </w:rPr>
              <w:t>EMSI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8D00F91" w:rsidR="00093CA9" w:rsidRDefault="00293F78" w:rsidP="00093CA9">
            <w:r w:rsidRPr="00293F78">
              <w:t>National Cooling Action Plan for Kenya,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1FB8260" w:rsidR="00093CA9" w:rsidRDefault="003B0E90" w:rsidP="00093CA9">
            <w:r w:rsidRPr="0048429C">
              <w:rPr>
                <w:rFonts w:ascii="Aptos" w:eastAsia="Times New Roman" w:hAnsi="Aptos" w:cs="Calibri"/>
                <w:sz w:val="20"/>
                <w:szCs w:val="20"/>
                <w:lang w:eastAsia="en-GB"/>
              </w:rPr>
              <w:t>https://archive.org/details/national-cooling-action-plan-for-kenya-2022</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0610B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7530F02" w:rsidR="00093CA9" w:rsidRDefault="00293F78"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87378F9"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278F16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E29ECA3" w14:textId="77777777" w:rsidR="003B0E90" w:rsidRDefault="003B0E90" w:rsidP="003B0E90">
            <w:pPr>
              <w:spacing w:after="0" w:line="276" w:lineRule="auto"/>
              <w:textAlignment w:val="baseline"/>
              <w:rPr>
                <w:rFonts w:ascii="Aptos" w:eastAsia="Times New Roman" w:hAnsi="Aptos" w:cs="Calibri"/>
                <w:sz w:val="20"/>
                <w:szCs w:val="20"/>
                <w:lang w:eastAsia="en-GB"/>
              </w:rPr>
            </w:pPr>
            <w:r>
              <w:rPr>
                <w:rFonts w:ascii="Aptos" w:eastAsia="Times New Roman" w:hAnsi="Aptos" w:cs="Calibri"/>
                <w:sz w:val="20"/>
                <w:szCs w:val="20"/>
                <w:lang w:eastAsia="en-GB"/>
              </w:rPr>
              <w:t xml:space="preserve">The </w:t>
            </w:r>
            <w:r>
              <w:rPr>
                <w:rFonts w:ascii="Aptos" w:eastAsia="Times New Roman" w:hAnsi="Aptos" w:cs="Calibri"/>
                <w:sz w:val="20"/>
                <w:szCs w:val="20"/>
                <w:lang w:eastAsia="en-GB"/>
              </w:rPr>
              <w:t xml:space="preserve">Action Plan is </w:t>
            </w:r>
            <w:r w:rsidRPr="000108AE">
              <w:rPr>
                <w:rFonts w:ascii="Aptos" w:eastAsia="Times New Roman" w:hAnsi="Aptos" w:cs="Calibri"/>
                <w:sz w:val="20"/>
                <w:szCs w:val="20"/>
                <w:lang w:eastAsia="en-GB"/>
              </w:rPr>
              <w:t>designed to develop a pathway to the provision of access to sustainable cooling for all Kenyans</w:t>
            </w:r>
            <w:r>
              <w:rPr>
                <w:rFonts w:ascii="Aptos" w:eastAsia="Times New Roman" w:hAnsi="Aptos" w:cs="Calibri"/>
                <w:sz w:val="20"/>
                <w:szCs w:val="20"/>
                <w:lang w:eastAsia="en-GB"/>
              </w:rPr>
              <w:t xml:space="preserve"> and  </w:t>
            </w:r>
            <w:r w:rsidRPr="000108AE">
              <w:rPr>
                <w:rFonts w:ascii="Aptos" w:eastAsia="Times New Roman" w:hAnsi="Aptos" w:cs="Calibri"/>
                <w:sz w:val="20"/>
                <w:szCs w:val="20"/>
                <w:lang w:eastAsia="en-GB"/>
              </w:rPr>
              <w:t>provides specific actions to achieve this goal, grounded in a review of the Kenyan regulatory framework, an</w:t>
            </w:r>
            <w:r>
              <w:rPr>
                <w:rFonts w:ascii="Aptos" w:eastAsia="Times New Roman" w:hAnsi="Aptos" w:cs="Calibri"/>
                <w:sz w:val="20"/>
                <w:szCs w:val="20"/>
                <w:lang w:eastAsia="en-GB"/>
              </w:rPr>
              <w:t xml:space="preserve"> </w:t>
            </w:r>
            <w:r w:rsidRPr="000108AE">
              <w:rPr>
                <w:rFonts w:ascii="Aptos" w:eastAsia="Times New Roman" w:hAnsi="Aptos" w:cs="Calibri"/>
                <w:sz w:val="20"/>
                <w:szCs w:val="20"/>
                <w:lang w:eastAsia="en-GB"/>
              </w:rPr>
              <w:t>assessment of Kenya’s cooling sector</w:t>
            </w:r>
            <w:r>
              <w:rPr>
                <w:rFonts w:ascii="Aptos" w:eastAsia="Times New Roman" w:hAnsi="Aptos" w:cs="Calibri"/>
                <w:sz w:val="20"/>
                <w:szCs w:val="20"/>
                <w:lang w:eastAsia="en-GB"/>
              </w:rPr>
              <w:t xml:space="preserve">. </w:t>
            </w:r>
            <w:r w:rsidRPr="000108AE">
              <w:rPr>
                <w:rFonts w:ascii="Aptos" w:eastAsia="Times New Roman" w:hAnsi="Aptos" w:cs="Calibri"/>
                <w:sz w:val="20"/>
                <w:szCs w:val="20"/>
                <w:lang w:eastAsia="en-GB"/>
              </w:rPr>
              <w:t xml:space="preserve"> </w:t>
            </w:r>
          </w:p>
          <w:p w14:paraId="07A037EA" w14:textId="77777777" w:rsidR="002F1B83" w:rsidRDefault="002F1B83" w:rsidP="003B0E90">
            <w:pPr>
              <w:spacing w:after="0" w:line="276" w:lineRule="auto"/>
              <w:textAlignment w:val="baseline"/>
              <w:rPr>
                <w:rFonts w:ascii="Aptos" w:eastAsia="Times New Roman" w:hAnsi="Aptos" w:cs="Calibri"/>
                <w:sz w:val="20"/>
                <w:szCs w:val="20"/>
                <w:lang w:eastAsia="en-GB"/>
              </w:rPr>
            </w:pPr>
          </w:p>
          <w:p w14:paraId="6198C27A" w14:textId="2444FB98" w:rsidR="002F1B83" w:rsidRDefault="002F1B83" w:rsidP="002F1B83">
            <w:pPr>
              <w:spacing w:after="0" w:line="276" w:lineRule="auto"/>
              <w:textAlignment w:val="baseline"/>
              <w:rPr>
                <w:rFonts w:ascii="Aptos" w:eastAsia="Times New Roman" w:hAnsi="Aptos" w:cs="Calibri"/>
                <w:sz w:val="20"/>
                <w:szCs w:val="20"/>
                <w:lang w:eastAsia="en-GB"/>
              </w:rPr>
            </w:pPr>
            <w:r w:rsidRPr="002F1B83">
              <w:rPr>
                <w:rFonts w:ascii="Aptos" w:eastAsia="Times New Roman" w:hAnsi="Aptos" w:cs="Calibri"/>
                <w:sz w:val="20"/>
                <w:szCs w:val="20"/>
                <w:lang w:eastAsia="en-GB"/>
              </w:rPr>
              <w:t xml:space="preserve">Over the recent years, Kenya has experienced a steady growth in the number of </w:t>
            </w:r>
            <w:r>
              <w:rPr>
                <w:rFonts w:ascii="Aptos" w:eastAsia="Times New Roman" w:hAnsi="Aptos" w:cs="Calibri"/>
                <w:sz w:val="20"/>
                <w:szCs w:val="20"/>
                <w:lang w:eastAsia="en-GB"/>
              </w:rPr>
              <w:t>refrigeration and colling (</w:t>
            </w:r>
            <w:r w:rsidRPr="002F1B83">
              <w:rPr>
                <w:rFonts w:ascii="Aptos" w:eastAsia="Times New Roman" w:hAnsi="Aptos" w:cs="Calibri"/>
                <w:sz w:val="20"/>
                <w:szCs w:val="20"/>
                <w:lang w:eastAsia="en-GB"/>
              </w:rPr>
              <w:t>RAC</w:t>
            </w:r>
            <w:r>
              <w:rPr>
                <w:rFonts w:ascii="Aptos" w:eastAsia="Times New Roman" w:hAnsi="Aptos" w:cs="Calibri"/>
                <w:sz w:val="20"/>
                <w:szCs w:val="20"/>
                <w:lang w:eastAsia="en-GB"/>
              </w:rPr>
              <w:t>)</w:t>
            </w:r>
            <w:r w:rsidRPr="002F1B83">
              <w:rPr>
                <w:rFonts w:ascii="Aptos" w:eastAsia="Times New Roman" w:hAnsi="Aptos" w:cs="Calibri"/>
                <w:sz w:val="20"/>
                <w:szCs w:val="20"/>
                <w:lang w:eastAsia="en-GB"/>
              </w:rPr>
              <w:t xml:space="preserve"> appliances in use. Due to</w:t>
            </w:r>
            <w:r>
              <w:rPr>
                <w:rFonts w:ascii="Aptos" w:eastAsia="Times New Roman" w:hAnsi="Aptos" w:cs="Calibri"/>
                <w:sz w:val="20"/>
                <w:szCs w:val="20"/>
                <w:lang w:eastAsia="en-GB"/>
              </w:rPr>
              <w:t xml:space="preserve"> </w:t>
            </w:r>
            <w:r w:rsidRPr="002F1B83">
              <w:rPr>
                <w:rFonts w:ascii="Aptos" w:eastAsia="Times New Roman" w:hAnsi="Aptos" w:cs="Calibri"/>
                <w:sz w:val="20"/>
                <w:szCs w:val="20"/>
                <w:lang w:eastAsia="en-GB"/>
              </w:rPr>
              <w:t>growing population and the expected climate change towards warmer temperatures, the demand for cooling is</w:t>
            </w:r>
            <w:r>
              <w:rPr>
                <w:rFonts w:ascii="Aptos" w:eastAsia="Times New Roman" w:hAnsi="Aptos" w:cs="Calibri"/>
                <w:sz w:val="20"/>
                <w:szCs w:val="20"/>
                <w:lang w:eastAsia="en-GB"/>
              </w:rPr>
              <w:t xml:space="preserve"> </w:t>
            </w:r>
            <w:r w:rsidRPr="002F1B83">
              <w:rPr>
                <w:rFonts w:ascii="Aptos" w:eastAsia="Times New Roman" w:hAnsi="Aptos" w:cs="Calibri"/>
                <w:sz w:val="20"/>
                <w:szCs w:val="20"/>
                <w:lang w:eastAsia="en-GB"/>
              </w:rPr>
              <w:t>rising</w:t>
            </w:r>
            <w:r>
              <w:rPr>
                <w:rFonts w:ascii="Aptos" w:eastAsia="Times New Roman" w:hAnsi="Aptos" w:cs="Calibri"/>
                <w:sz w:val="20"/>
                <w:szCs w:val="20"/>
                <w:lang w:eastAsia="en-GB"/>
              </w:rPr>
              <w:t xml:space="preserve"> and the </w:t>
            </w:r>
            <w:r w:rsidRPr="002F1B83">
              <w:rPr>
                <w:rFonts w:ascii="Aptos" w:eastAsia="Times New Roman" w:hAnsi="Aptos" w:cs="Calibri"/>
                <w:sz w:val="20"/>
                <w:szCs w:val="20"/>
                <w:lang w:eastAsia="en-GB"/>
              </w:rPr>
              <w:t>resulting greenhouse gas emissions from the RAC sector increased from 3.56 Mt CO2eq in 2010 to 3.99</w:t>
            </w:r>
            <w:r>
              <w:rPr>
                <w:rFonts w:ascii="Aptos" w:eastAsia="Times New Roman" w:hAnsi="Aptos" w:cs="Calibri"/>
                <w:sz w:val="20"/>
                <w:szCs w:val="20"/>
                <w:lang w:eastAsia="en-GB"/>
              </w:rPr>
              <w:t xml:space="preserve"> </w:t>
            </w:r>
            <w:r w:rsidRPr="002F1B83">
              <w:rPr>
                <w:rFonts w:ascii="Aptos" w:eastAsia="Times New Roman" w:hAnsi="Aptos" w:cs="Calibri"/>
                <w:sz w:val="20"/>
                <w:szCs w:val="20"/>
                <w:lang w:eastAsia="en-GB"/>
              </w:rPr>
              <w:t>Mt CO2eq in 2015</w:t>
            </w:r>
            <w:r>
              <w:rPr>
                <w:rFonts w:ascii="Aptos" w:eastAsia="Times New Roman" w:hAnsi="Aptos" w:cs="Calibri"/>
                <w:sz w:val="20"/>
                <w:szCs w:val="20"/>
                <w:lang w:eastAsia="en-GB"/>
              </w:rPr>
              <w:t xml:space="preserve">.  </w:t>
            </w:r>
            <w:r w:rsidRPr="002F1B83">
              <w:rPr>
                <w:rFonts w:ascii="Aptos" w:eastAsia="Times New Roman" w:hAnsi="Aptos" w:cs="Calibri"/>
                <w:sz w:val="20"/>
                <w:szCs w:val="20"/>
                <w:lang w:eastAsia="en-GB"/>
              </w:rPr>
              <w:t>Based on current trends and a projected hotter climate in Kenya, the GHG emissions</w:t>
            </w:r>
            <w:r>
              <w:rPr>
                <w:rFonts w:ascii="Aptos" w:eastAsia="Times New Roman" w:hAnsi="Aptos" w:cs="Calibri"/>
                <w:sz w:val="20"/>
                <w:szCs w:val="20"/>
                <w:lang w:eastAsia="en-GB"/>
              </w:rPr>
              <w:t xml:space="preserve"> </w:t>
            </w:r>
            <w:r w:rsidRPr="002F1B83">
              <w:rPr>
                <w:rFonts w:ascii="Aptos" w:eastAsia="Times New Roman" w:hAnsi="Aptos" w:cs="Calibri"/>
                <w:sz w:val="20"/>
                <w:szCs w:val="20"/>
                <w:lang w:eastAsia="en-GB"/>
              </w:rPr>
              <w:t>from the RAC sector are prone to reach 4.75 Mt CO2eq in 2030 and up to 7.87 Mt CO2eq in 2050.</w:t>
            </w:r>
          </w:p>
          <w:p w14:paraId="64B359F0" w14:textId="303127FC" w:rsidR="003B0E90" w:rsidRPr="000108AE" w:rsidRDefault="003B0E90" w:rsidP="003B0E90">
            <w:pPr>
              <w:spacing w:after="0" w:line="276" w:lineRule="auto"/>
              <w:textAlignment w:val="baseline"/>
              <w:rPr>
                <w:rFonts w:ascii="Aptos" w:eastAsia="Times New Roman" w:hAnsi="Aptos" w:cs="Calibri"/>
                <w:sz w:val="20"/>
                <w:szCs w:val="20"/>
                <w:lang w:eastAsia="en-GB"/>
              </w:rPr>
            </w:pPr>
            <w:r w:rsidRPr="000108AE">
              <w:rPr>
                <w:rFonts w:ascii="Aptos" w:eastAsia="Times New Roman" w:hAnsi="Aptos" w:cs="Calibri"/>
                <w:sz w:val="20"/>
                <w:szCs w:val="20"/>
                <w:lang w:eastAsia="en-GB"/>
              </w:rPr>
              <w:t>The proposed actions</w:t>
            </w:r>
            <w:r>
              <w:rPr>
                <w:rFonts w:ascii="Aptos" w:eastAsia="Times New Roman" w:hAnsi="Aptos" w:cs="Calibri"/>
                <w:sz w:val="20"/>
                <w:szCs w:val="20"/>
                <w:lang w:eastAsia="en-GB"/>
              </w:rPr>
              <w:t xml:space="preserve"> </w:t>
            </w:r>
            <w:r w:rsidRPr="000108AE">
              <w:rPr>
                <w:rFonts w:ascii="Aptos" w:eastAsia="Times New Roman" w:hAnsi="Aptos" w:cs="Calibri"/>
                <w:sz w:val="20"/>
                <w:szCs w:val="20"/>
                <w:lang w:eastAsia="en-GB"/>
              </w:rPr>
              <w:t>are designed to meet Kenya’s growing cooling demand and enhance access to cooling services, while minimizing</w:t>
            </w:r>
            <w:r>
              <w:rPr>
                <w:rFonts w:ascii="Aptos" w:eastAsia="Times New Roman" w:hAnsi="Aptos" w:cs="Calibri"/>
                <w:sz w:val="20"/>
                <w:szCs w:val="20"/>
                <w:lang w:eastAsia="en-GB"/>
              </w:rPr>
              <w:t xml:space="preserve"> </w:t>
            </w:r>
            <w:r w:rsidRPr="000108AE">
              <w:rPr>
                <w:rFonts w:ascii="Aptos" w:eastAsia="Times New Roman" w:hAnsi="Aptos" w:cs="Calibri"/>
                <w:sz w:val="20"/>
                <w:szCs w:val="20"/>
                <w:lang w:eastAsia="en-GB"/>
              </w:rPr>
              <w:t>climate and environmental impacts.</w:t>
            </w:r>
            <w:r>
              <w:rPr>
                <w:rFonts w:ascii="Aptos" w:eastAsia="Times New Roman" w:hAnsi="Aptos" w:cs="Calibri"/>
                <w:sz w:val="20"/>
                <w:szCs w:val="20"/>
                <w:lang w:eastAsia="en-GB"/>
              </w:rPr>
              <w:t xml:space="preserve"> </w:t>
            </w:r>
            <w:r w:rsidRPr="000108AE">
              <w:rPr>
                <w:rFonts w:ascii="Aptos" w:eastAsia="Times New Roman" w:hAnsi="Aptos" w:cs="Calibri"/>
                <w:sz w:val="20"/>
                <w:szCs w:val="20"/>
                <w:lang w:eastAsia="en-GB"/>
              </w:rPr>
              <w:t>The overall objective can be met through:</w:t>
            </w:r>
          </w:p>
          <w:p w14:paraId="4F8E3A2E" w14:textId="1A8FC25F" w:rsidR="003B0E90" w:rsidRPr="003B0E90" w:rsidRDefault="003B0E90" w:rsidP="003B0E90">
            <w:pPr>
              <w:pStyle w:val="ListParagraph"/>
              <w:numPr>
                <w:ilvl w:val="0"/>
                <w:numId w:val="49"/>
              </w:numPr>
              <w:spacing w:after="0" w:line="276" w:lineRule="auto"/>
              <w:textAlignment w:val="baseline"/>
              <w:rPr>
                <w:rFonts w:ascii="Aptos" w:eastAsia="Times New Roman" w:hAnsi="Aptos" w:cs="Calibri"/>
                <w:sz w:val="20"/>
                <w:szCs w:val="20"/>
                <w:lang w:eastAsia="en-GB"/>
              </w:rPr>
            </w:pPr>
            <w:r w:rsidRPr="003B0E90">
              <w:rPr>
                <w:rFonts w:ascii="Aptos" w:eastAsia="Times New Roman" w:hAnsi="Aptos" w:cs="Calibri"/>
                <w:sz w:val="20"/>
                <w:szCs w:val="20"/>
                <w:lang w:eastAsia="en-GB"/>
              </w:rPr>
              <w:t>Accelerating market transition to high efficiency cooling appliances and equipment</w:t>
            </w:r>
          </w:p>
          <w:p w14:paraId="1E5AE96E" w14:textId="32E6A804" w:rsidR="003B0E90" w:rsidRPr="003B0E90" w:rsidRDefault="003B0E90" w:rsidP="003B0E90">
            <w:pPr>
              <w:pStyle w:val="ListParagraph"/>
              <w:numPr>
                <w:ilvl w:val="0"/>
                <w:numId w:val="49"/>
              </w:numPr>
              <w:spacing w:after="0" w:line="276" w:lineRule="auto"/>
              <w:textAlignment w:val="baseline"/>
              <w:rPr>
                <w:rFonts w:ascii="Aptos" w:eastAsia="Times New Roman" w:hAnsi="Aptos" w:cs="Calibri"/>
                <w:sz w:val="20"/>
                <w:szCs w:val="20"/>
                <w:lang w:eastAsia="en-GB"/>
              </w:rPr>
            </w:pPr>
            <w:r w:rsidRPr="003B0E90">
              <w:rPr>
                <w:rFonts w:ascii="Aptos" w:eastAsia="Times New Roman" w:hAnsi="Aptos" w:cs="Calibri"/>
                <w:sz w:val="20"/>
                <w:szCs w:val="20"/>
                <w:lang w:eastAsia="en-GB"/>
              </w:rPr>
              <w:t>Transitioning the cooling sector to natural refrigerants with low global warming potential</w:t>
            </w:r>
          </w:p>
          <w:p w14:paraId="18257824" w14:textId="78A6CD1C" w:rsidR="00093CA9" w:rsidRDefault="003B0E90" w:rsidP="003B0E90">
            <w:pPr>
              <w:pStyle w:val="ListParagraph"/>
              <w:numPr>
                <w:ilvl w:val="0"/>
                <w:numId w:val="49"/>
              </w:numPr>
            </w:pPr>
            <w:r w:rsidRPr="003B0E90">
              <w:rPr>
                <w:rFonts w:ascii="Aptos" w:eastAsia="Times New Roman" w:hAnsi="Aptos" w:cs="Calibri"/>
                <w:sz w:val="20"/>
                <w:szCs w:val="20"/>
                <w:lang w:eastAsia="en-GB"/>
              </w:rPr>
              <w:t>Increasing access to agricultural cold chain solutions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4BF26DD" w:rsidR="00093CA9" w:rsidRDefault="00DE672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6585F1B" w:rsidR="00093CA9" w:rsidRPr="00173D7C" w:rsidRDefault="00DE6722"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E69B4E4" w:rsidR="00093CA9" w:rsidRPr="00173D7C" w:rsidRDefault="00DE6722"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F1F6B61" w:rsidR="00093CA9" w:rsidRDefault="00AD26E6" w:rsidP="00093CA9">
            <w:r>
              <w:t>Ministry of Environment, Climate Change and Forestry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0768903E" w14:textId="0EC0BA10" w:rsidR="007F3D87" w:rsidRDefault="007F3D87" w:rsidP="00093CA9">
            <w:r>
              <w:t xml:space="preserve">Implementation: </w:t>
            </w:r>
            <w:r>
              <w:t>Ministry of Environment, Climate Change and Forestry</w:t>
            </w:r>
            <w:r>
              <w:t xml:space="preserve"> </w:t>
            </w:r>
          </w:p>
          <w:p w14:paraId="58D97C26" w14:textId="0C45B195" w:rsidR="00093CA9" w:rsidRPr="006B7B0D" w:rsidRDefault="007F3D87" w:rsidP="00093CA9">
            <w:r>
              <w:t xml:space="preserve">Enforcement: National Environment Management Authority (NEMA)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179D34C" w:rsidR="00093CA9" w:rsidRPr="006B7B0D" w:rsidRDefault="00643BB9"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69ABF00F" w:rsidR="00093CA9" w:rsidRPr="006B7B0D" w:rsidRDefault="00643BB9"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FB0C21C" w:rsidR="00093CA9" w:rsidRDefault="00643BB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A145BD6" w14:textId="77777777" w:rsidR="00093CA9" w:rsidRDefault="00643BB9" w:rsidP="00643BB9">
            <w:pPr>
              <w:keepNext/>
              <w:rPr>
                <w:color w:val="000000" w:themeColor="text1"/>
              </w:rPr>
            </w:pPr>
            <w:r>
              <w:rPr>
                <w:color w:val="000000" w:themeColor="text1"/>
              </w:rPr>
              <w:t xml:space="preserve">Chapter 3.3.3 records that </w:t>
            </w:r>
            <w:r w:rsidRPr="00643BB9">
              <w:rPr>
                <w:color w:val="000000" w:themeColor="text1"/>
              </w:rPr>
              <w:t>EPRA has set up a mechanism to help ensure products imported to</w:t>
            </w:r>
            <w:r>
              <w:rPr>
                <w:color w:val="000000" w:themeColor="text1"/>
              </w:rPr>
              <w:t xml:space="preserve"> </w:t>
            </w:r>
            <w:r w:rsidRPr="00643BB9">
              <w:rPr>
                <w:color w:val="000000" w:themeColor="text1"/>
              </w:rPr>
              <w:t>the country conform to the standards</w:t>
            </w:r>
            <w:r>
              <w:rPr>
                <w:color w:val="000000" w:themeColor="text1"/>
              </w:rPr>
              <w:t xml:space="preserve"> in an effort to</w:t>
            </w:r>
            <w:r w:rsidRPr="00643BB9">
              <w:rPr>
                <w:color w:val="000000" w:themeColor="text1"/>
              </w:rPr>
              <w:t xml:space="preserve"> implement Kenya’s MEPS for ACs and refrigerators. Kenya’s conformity assessment process requires that importers register their</w:t>
            </w:r>
            <w:r>
              <w:rPr>
                <w:color w:val="000000" w:themeColor="text1"/>
              </w:rPr>
              <w:t xml:space="preserve"> </w:t>
            </w:r>
            <w:r w:rsidRPr="00643BB9">
              <w:rPr>
                <w:color w:val="000000" w:themeColor="text1"/>
              </w:rPr>
              <w:t xml:space="preserve">products with EPRA and submit accompanying documentation (test reports and </w:t>
            </w:r>
            <w:r w:rsidRPr="00643BB9">
              <w:rPr>
                <w:color w:val="000000" w:themeColor="text1"/>
              </w:rPr>
              <w:lastRenderedPageBreak/>
              <w:t>certificates, as well as customs documentation)</w:t>
            </w:r>
            <w:r>
              <w:rPr>
                <w:color w:val="000000" w:themeColor="text1"/>
              </w:rPr>
              <w:t xml:space="preserve"> </w:t>
            </w:r>
            <w:r w:rsidRPr="00643BB9">
              <w:rPr>
                <w:color w:val="000000" w:themeColor="text1"/>
              </w:rPr>
              <w:t>that demonstrates their products meet the MEPS and that the products satisfy all national market entry</w:t>
            </w:r>
            <w:r>
              <w:rPr>
                <w:color w:val="000000" w:themeColor="text1"/>
              </w:rPr>
              <w:t xml:space="preserve"> </w:t>
            </w:r>
            <w:r w:rsidRPr="00643BB9">
              <w:rPr>
                <w:color w:val="000000" w:themeColor="text1"/>
              </w:rPr>
              <w:t>requirements.</w:t>
            </w:r>
          </w:p>
          <w:p w14:paraId="3D6F618F" w14:textId="77777777" w:rsidR="00B22B18" w:rsidRDefault="00B22B18" w:rsidP="00643BB9">
            <w:pPr>
              <w:keepNext/>
              <w:rPr>
                <w:color w:val="000000" w:themeColor="text1"/>
              </w:rPr>
            </w:pPr>
          </w:p>
          <w:p w14:paraId="2C2128DB" w14:textId="1C79A366" w:rsidR="00B22B18" w:rsidRPr="008017F9" w:rsidRDefault="00B22B18" w:rsidP="00AE0A0E">
            <w:pPr>
              <w:keepNext/>
              <w:rPr>
                <w:color w:val="000000" w:themeColor="text1"/>
              </w:rPr>
            </w:pPr>
            <w:r>
              <w:rPr>
                <w:color w:val="000000" w:themeColor="text1"/>
              </w:rPr>
              <w:t xml:space="preserve">Chapter 8 on the MRV framework records that </w:t>
            </w:r>
            <w:r w:rsidRPr="00B22B18">
              <w:rPr>
                <w:color w:val="000000" w:themeColor="text1"/>
              </w:rPr>
              <w:t xml:space="preserve">Kenya </w:t>
            </w:r>
            <w:r>
              <w:rPr>
                <w:color w:val="000000" w:themeColor="text1"/>
              </w:rPr>
              <w:t>reports for</w:t>
            </w:r>
            <w:r w:rsidRPr="00B22B18">
              <w:rPr>
                <w:color w:val="000000" w:themeColor="text1"/>
              </w:rPr>
              <w:t xml:space="preserve"> two product groups: split ACs and domestic refrigerators. As mentioned</w:t>
            </w:r>
            <w:r>
              <w:rPr>
                <w:color w:val="000000" w:themeColor="text1"/>
              </w:rPr>
              <w:t xml:space="preserve"> </w:t>
            </w:r>
            <w:r w:rsidRPr="00B22B18">
              <w:rPr>
                <w:color w:val="000000" w:themeColor="text1"/>
              </w:rPr>
              <w:t>before, information on some additional</w:t>
            </w:r>
            <w:r>
              <w:rPr>
                <w:color w:val="000000" w:themeColor="text1"/>
              </w:rPr>
              <w:t xml:space="preserve"> </w:t>
            </w:r>
            <w:r w:rsidRPr="00B22B18">
              <w:rPr>
                <w:color w:val="000000" w:themeColor="text1"/>
              </w:rPr>
              <w:t>elements should be recorded, such as the refrigerant and its</w:t>
            </w:r>
            <w:r>
              <w:rPr>
                <w:color w:val="000000" w:themeColor="text1"/>
              </w:rPr>
              <w:t xml:space="preserve"> </w:t>
            </w:r>
            <w:r w:rsidRPr="00B22B18">
              <w:rPr>
                <w:color w:val="000000" w:themeColor="text1"/>
              </w:rPr>
              <w:t>amount contained in the</w:t>
            </w:r>
            <w:r>
              <w:rPr>
                <w:color w:val="000000" w:themeColor="text1"/>
              </w:rPr>
              <w:t xml:space="preserve"> </w:t>
            </w:r>
            <w:r w:rsidRPr="00B22B18">
              <w:rPr>
                <w:color w:val="000000" w:themeColor="text1"/>
              </w:rPr>
              <w:t>product. More product groups, such as commercial stand-alone units, condensing</w:t>
            </w:r>
            <w:r>
              <w:rPr>
                <w:color w:val="000000" w:themeColor="text1"/>
              </w:rPr>
              <w:t xml:space="preserve"> </w:t>
            </w:r>
            <w:r w:rsidRPr="00B22B18">
              <w:rPr>
                <w:color w:val="000000" w:themeColor="text1"/>
              </w:rPr>
              <w:t>units and larger AC systems should be added in medium term.</w:t>
            </w:r>
            <w:r w:rsidR="00AE0A0E">
              <w:rPr>
                <w:color w:val="000000" w:themeColor="text1"/>
              </w:rPr>
              <w:t xml:space="preserve">  </w:t>
            </w:r>
            <w:r w:rsidR="00AE0A0E" w:rsidRPr="00AE0A0E">
              <w:rPr>
                <w:color w:val="000000" w:themeColor="text1"/>
              </w:rPr>
              <w:t>Potential national partners for this</w:t>
            </w:r>
            <w:r w:rsidR="00AE0A0E">
              <w:rPr>
                <w:color w:val="000000" w:themeColor="text1"/>
              </w:rPr>
              <w:t xml:space="preserve"> </w:t>
            </w:r>
            <w:r w:rsidR="00AE0A0E" w:rsidRPr="00AE0A0E">
              <w:rPr>
                <w:color w:val="000000" w:themeColor="text1"/>
              </w:rPr>
              <w:t>strategy include the Kenya Revenue Authority, the Kenyan National Bureau</w:t>
            </w:r>
            <w:r w:rsidR="00AE0A0E">
              <w:rPr>
                <w:color w:val="000000" w:themeColor="text1"/>
              </w:rPr>
              <w:t xml:space="preserve"> </w:t>
            </w:r>
            <w:r w:rsidR="00AE0A0E" w:rsidRPr="00AE0A0E">
              <w:rPr>
                <w:color w:val="000000" w:themeColor="text1"/>
              </w:rPr>
              <w:t>of Statistics, HVAC Kenya, the Kenyan Industrial Research and Development Institute (KIRDI) and the</w:t>
            </w:r>
            <w:r w:rsidR="00AE0A0E">
              <w:rPr>
                <w:color w:val="000000" w:themeColor="text1"/>
              </w:rPr>
              <w:t xml:space="preserve"> </w:t>
            </w:r>
            <w:r w:rsidR="00AE0A0E" w:rsidRPr="00AE0A0E">
              <w:rPr>
                <w:color w:val="000000" w:themeColor="text1"/>
              </w:rPr>
              <w:t>Ministry of</w:t>
            </w:r>
            <w:r w:rsidR="00AE0A0E">
              <w:rPr>
                <w:color w:val="000000" w:themeColor="text1"/>
              </w:rPr>
              <w:t xml:space="preserve"> </w:t>
            </w:r>
            <w:r w:rsidR="00AE0A0E" w:rsidRPr="00AE0A0E">
              <w:rPr>
                <w:color w:val="000000" w:themeColor="text1"/>
              </w:rPr>
              <w:t>Environment Climate Change and Forestry.</w:t>
            </w:r>
            <w:r w:rsidR="002B418C">
              <w:rPr>
                <w:color w:val="000000" w:themeColor="text1"/>
              </w:rPr>
              <w:t xml:space="preserve"> Full implementation of the MRV framework was to be completed post 2023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57C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225DCE2C" w:rsidR="00D4323A" w:rsidRPr="00610F28" w:rsidRDefault="00AB5AA2"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2B15D1C2"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F1CC8C1" w:rsidR="00D4323A" w:rsidRPr="00610F28" w:rsidRDefault="00AB5AA2"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0E4E86AF" w:rsidR="00D4323A" w:rsidRPr="00610F28" w:rsidRDefault="00AB5AA2"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59190B5" w:rsidR="00D4323A" w:rsidRPr="00610F28" w:rsidRDefault="00AB5AA2"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6C69653D" w:rsidR="00D4323A" w:rsidRPr="00610F28" w:rsidRDefault="00AB5AA2"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7C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3BB2EF4" w:rsidR="00C66EE0" w:rsidRPr="00610F28" w:rsidRDefault="00AB5AA2"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3F04E643" w:rsidR="00C66EE0" w:rsidRPr="00610F28" w:rsidRDefault="00AB5AA2"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3A0264D8" w:rsidR="00C66EE0" w:rsidRPr="00610F28" w:rsidRDefault="00AB5AA2"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08E37768" w:rsidR="00C66EE0" w:rsidRPr="00610F28" w:rsidRDefault="00AB5AA2"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9688875" w:rsidR="00C66EE0" w:rsidRPr="00610F28" w:rsidRDefault="00AB5AA2"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5A47A268" w:rsidR="00DF50B5" w:rsidRPr="00610F28" w:rsidRDefault="00AB5AA2"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92E4893" w:rsidR="00DF50B5" w:rsidRPr="00610F28" w:rsidRDefault="00AB5AA2"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FA2EC3E" w:rsidR="00DF50B5" w:rsidRPr="00610F28" w:rsidRDefault="00AB5AA2"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84DF33F" w:rsidR="00DF50B5" w:rsidRPr="00610F28" w:rsidRDefault="00AB5AA2"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17980DE" w:rsidR="00DF50B5" w:rsidRPr="00610F28" w:rsidRDefault="00AB5AA2"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D519B57" w:rsidR="00DF50B5" w:rsidRPr="00610F28" w:rsidRDefault="00AB5AA2"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EC13883" w:rsidR="00DF50B5" w:rsidRPr="00610F28" w:rsidRDefault="00AB5AA2"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E80A7" w:rsidR="00DF50B5" w:rsidRPr="00610F28" w:rsidRDefault="00AB5AA2"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4B1A8BF7"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547861F7" w:rsidR="00DF50B5" w:rsidRPr="00610F28" w:rsidRDefault="00AB5AA2"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4677A840"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29531567" w:rsidR="00DF50B5" w:rsidRPr="00610F28" w:rsidRDefault="00AB5AA2" w:rsidP="00610F28">
            <w:pPr>
              <w:rPr>
                <w:rFonts w:ascii="Calibri" w:hAnsi="Calibri" w:cs="Calibri"/>
              </w:rPr>
            </w:pPr>
            <w:r>
              <w:rPr>
                <w:rFonts w:ascii="Calibri" w:hAnsi="Calibri" w:cs="Calibri"/>
              </w:rPr>
              <w:t>x</w:t>
            </w: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368CDA2" w:rsidR="00DF50B5" w:rsidRPr="00610F28" w:rsidRDefault="00AB5AA2" w:rsidP="00610F28">
            <w:pPr>
              <w:rPr>
                <w:rFonts w:ascii="Calibri" w:hAnsi="Calibri" w:cs="Calibri"/>
              </w:rPr>
            </w:pPr>
            <w:r>
              <w:rPr>
                <w:rFonts w:ascii="Calibri" w:hAnsi="Calibri" w:cs="Calibri"/>
              </w:rPr>
              <w:t>x</w:t>
            </w: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F7F79A5" w14:textId="647EEDA0" w:rsidR="00AB5AA2" w:rsidRDefault="00AB5AA2" w:rsidP="00610F28">
            <w:pPr>
              <w:rPr>
                <w:rFonts w:ascii="Calibri" w:hAnsi="Calibri" w:cs="Calibri"/>
              </w:rPr>
            </w:pPr>
            <w:r>
              <w:rPr>
                <w:rFonts w:ascii="Calibri" w:hAnsi="Calibri" w:cs="Calibri"/>
              </w:rPr>
              <w:t xml:space="preserve">Chapter 3.3.4 Action Point: </w:t>
            </w:r>
            <w:r w:rsidRPr="00AB5AA2">
              <w:rPr>
                <w:rFonts w:ascii="Calibri" w:hAnsi="Calibri" w:cs="Calibri"/>
              </w:rPr>
              <w:t>Launch bulk and government procurement programs</w:t>
            </w:r>
          </w:p>
          <w:p w14:paraId="6BE5070D" w14:textId="7EB4BAB0" w:rsidR="00AB5AA2" w:rsidRPr="00AB5AA2" w:rsidRDefault="00AB5AA2" w:rsidP="00AB5AA2">
            <w:pPr>
              <w:rPr>
                <w:rFonts w:ascii="Calibri" w:hAnsi="Calibri" w:cs="Calibri"/>
              </w:rPr>
            </w:pPr>
            <w:r w:rsidRPr="00AB5AA2">
              <w:rPr>
                <w:rFonts w:ascii="Calibri" w:hAnsi="Calibri" w:cs="Calibri"/>
              </w:rPr>
              <w:t>Large consumers in Kenya can promote the use of energy efficient and climate friendly cooling equipment</w:t>
            </w:r>
            <w:r>
              <w:rPr>
                <w:rFonts w:ascii="Calibri" w:hAnsi="Calibri" w:cs="Calibri"/>
              </w:rPr>
              <w:t xml:space="preserve"> </w:t>
            </w:r>
            <w:r w:rsidRPr="00AB5AA2">
              <w:rPr>
                <w:rFonts w:ascii="Calibri" w:hAnsi="Calibri" w:cs="Calibri"/>
              </w:rPr>
              <w:t>through their procurement choices, particularly through bulk procurement. For instance, the Government of</w:t>
            </w:r>
            <w:r>
              <w:rPr>
                <w:rFonts w:ascii="Calibri" w:hAnsi="Calibri" w:cs="Calibri"/>
              </w:rPr>
              <w:t xml:space="preserve"> </w:t>
            </w:r>
            <w:r w:rsidRPr="00AB5AA2">
              <w:rPr>
                <w:rFonts w:ascii="Calibri" w:hAnsi="Calibri" w:cs="Calibri"/>
              </w:rPr>
              <w:t>Kenya, through purchases for equipment used in government offices, public schools, universities, hospitals,</w:t>
            </w:r>
            <w:r>
              <w:rPr>
                <w:rFonts w:ascii="Calibri" w:hAnsi="Calibri" w:cs="Calibri"/>
              </w:rPr>
              <w:t xml:space="preserve"> </w:t>
            </w:r>
            <w:r w:rsidRPr="00AB5AA2">
              <w:rPr>
                <w:rFonts w:ascii="Calibri" w:hAnsi="Calibri" w:cs="Calibri"/>
              </w:rPr>
              <w:t>utilities, and other state-owned facilities and enterprises, can stimulate the market for energy-efficient products</w:t>
            </w:r>
            <w:r>
              <w:rPr>
                <w:rFonts w:ascii="Calibri" w:hAnsi="Calibri" w:cs="Calibri"/>
              </w:rPr>
              <w:t xml:space="preserve"> </w:t>
            </w:r>
            <w:r w:rsidRPr="00AB5AA2">
              <w:rPr>
                <w:rFonts w:ascii="Calibri" w:hAnsi="Calibri" w:cs="Calibri"/>
              </w:rPr>
              <w:t>while setting an example for corporate buyers and individual consumers. Defining purchasing criteria for</w:t>
            </w:r>
            <w:r>
              <w:rPr>
                <w:rFonts w:ascii="Calibri" w:hAnsi="Calibri" w:cs="Calibri"/>
              </w:rPr>
              <w:t xml:space="preserve"> </w:t>
            </w:r>
            <w:r w:rsidRPr="00AB5AA2">
              <w:rPr>
                <w:rFonts w:ascii="Calibri" w:hAnsi="Calibri" w:cs="Calibri"/>
              </w:rPr>
              <w:t>highly efficient and climate friendly cooling can encourage importers to source technologies that meet those</w:t>
            </w:r>
            <w:r>
              <w:rPr>
                <w:rFonts w:ascii="Calibri" w:hAnsi="Calibri" w:cs="Calibri"/>
              </w:rPr>
              <w:t xml:space="preserve"> </w:t>
            </w:r>
            <w:r w:rsidRPr="00AB5AA2">
              <w:rPr>
                <w:rFonts w:ascii="Calibri" w:hAnsi="Calibri" w:cs="Calibri"/>
              </w:rPr>
              <w:t>criteria at competitive prices. The Kenyan government can leverage the</w:t>
            </w:r>
            <w:r>
              <w:rPr>
                <w:rFonts w:ascii="Calibri" w:hAnsi="Calibri" w:cs="Calibri"/>
              </w:rPr>
              <w:t xml:space="preserve"> </w:t>
            </w:r>
            <w:r w:rsidRPr="00AB5AA2">
              <w:rPr>
                <w:rFonts w:ascii="Calibri" w:hAnsi="Calibri" w:cs="Calibri"/>
              </w:rPr>
              <w:t xml:space="preserve">existing </w:t>
            </w:r>
            <w:proofErr w:type="spellStart"/>
            <w:r w:rsidRPr="00AB5AA2">
              <w:rPr>
                <w:rFonts w:ascii="Calibri" w:hAnsi="Calibri" w:cs="Calibri"/>
              </w:rPr>
              <w:t>labeling</w:t>
            </w:r>
            <w:proofErr w:type="spellEnd"/>
            <w:r w:rsidRPr="00AB5AA2">
              <w:rPr>
                <w:rFonts w:ascii="Calibri" w:hAnsi="Calibri" w:cs="Calibri"/>
              </w:rPr>
              <w:t xml:space="preserve"> program to define</w:t>
            </w:r>
            <w:r>
              <w:rPr>
                <w:rFonts w:ascii="Calibri" w:hAnsi="Calibri" w:cs="Calibri"/>
              </w:rPr>
              <w:t xml:space="preserve"> </w:t>
            </w:r>
            <w:r w:rsidRPr="00AB5AA2">
              <w:rPr>
                <w:rFonts w:ascii="Calibri" w:hAnsi="Calibri" w:cs="Calibri"/>
              </w:rPr>
              <w:t>green public procurement guidelines that require 5-star</w:t>
            </w:r>
            <w:r>
              <w:rPr>
                <w:rFonts w:ascii="Calibri" w:hAnsi="Calibri" w:cs="Calibri"/>
              </w:rPr>
              <w:t xml:space="preserve"> </w:t>
            </w:r>
            <w:proofErr w:type="spellStart"/>
            <w:r w:rsidRPr="00AB5AA2">
              <w:rPr>
                <w:rFonts w:ascii="Calibri" w:hAnsi="Calibri" w:cs="Calibri"/>
              </w:rPr>
              <w:t>labeled</w:t>
            </w:r>
            <w:proofErr w:type="spellEnd"/>
            <w:r w:rsidRPr="00AB5AA2">
              <w:rPr>
                <w:rFonts w:ascii="Calibri" w:hAnsi="Calibri" w:cs="Calibri"/>
              </w:rPr>
              <w:t xml:space="preserve"> appliances at a minimum, and incorporating</w:t>
            </w:r>
            <w:r>
              <w:rPr>
                <w:rFonts w:ascii="Calibri" w:hAnsi="Calibri" w:cs="Calibri"/>
              </w:rPr>
              <w:t xml:space="preserve"> </w:t>
            </w:r>
            <w:r w:rsidRPr="00AB5AA2">
              <w:rPr>
                <w:rFonts w:ascii="Calibri" w:hAnsi="Calibri" w:cs="Calibri"/>
              </w:rPr>
              <w:t>refrigerant requirements.</w:t>
            </w:r>
          </w:p>
          <w:p w14:paraId="7E4E529D" w14:textId="77777777" w:rsidR="00AB5AA2" w:rsidRDefault="00AB5AA2" w:rsidP="00AB5AA2">
            <w:pPr>
              <w:rPr>
                <w:rFonts w:ascii="Calibri" w:hAnsi="Calibri" w:cs="Calibri"/>
              </w:rPr>
            </w:pPr>
          </w:p>
          <w:p w14:paraId="16556AA7" w14:textId="013F165B" w:rsidR="00AB5AA2" w:rsidRPr="00AB5AA2" w:rsidRDefault="00AB5AA2" w:rsidP="00AB5AA2">
            <w:pPr>
              <w:rPr>
                <w:rFonts w:ascii="Calibri" w:hAnsi="Calibri" w:cs="Calibri"/>
              </w:rPr>
            </w:pPr>
            <w:r w:rsidRPr="00AB5AA2">
              <w:rPr>
                <w:rFonts w:ascii="Calibri" w:hAnsi="Calibri" w:cs="Calibri"/>
              </w:rPr>
              <w:t>Other non-government actors can also benefit significantly from bulk procurement. Large consumers can also</w:t>
            </w:r>
            <w:r>
              <w:rPr>
                <w:rFonts w:ascii="Calibri" w:hAnsi="Calibri" w:cs="Calibri"/>
              </w:rPr>
              <w:t xml:space="preserve"> </w:t>
            </w:r>
            <w:r w:rsidRPr="00AB5AA2">
              <w:rPr>
                <w:rFonts w:ascii="Calibri" w:hAnsi="Calibri" w:cs="Calibri"/>
              </w:rPr>
              <w:t>set procurement requirements, form buyer’s clubs, and conduct large</w:t>
            </w:r>
            <w:r>
              <w:rPr>
                <w:rFonts w:ascii="Calibri" w:hAnsi="Calibri" w:cs="Calibri"/>
              </w:rPr>
              <w:t xml:space="preserve"> </w:t>
            </w:r>
            <w:r w:rsidRPr="00AB5AA2">
              <w:rPr>
                <w:rFonts w:ascii="Calibri" w:hAnsi="Calibri" w:cs="Calibri"/>
              </w:rPr>
              <w:t>scale procurements in order to access</w:t>
            </w:r>
            <w:r>
              <w:rPr>
                <w:rFonts w:ascii="Calibri" w:hAnsi="Calibri" w:cs="Calibri"/>
              </w:rPr>
              <w:t xml:space="preserve"> </w:t>
            </w:r>
            <w:r w:rsidRPr="00AB5AA2">
              <w:rPr>
                <w:rFonts w:ascii="Calibri" w:hAnsi="Calibri" w:cs="Calibri"/>
              </w:rPr>
              <w:t>large quantities of energy efficient and climate friendly cooling at a reduced cost.</w:t>
            </w:r>
          </w:p>
          <w:p w14:paraId="51E9D836" w14:textId="77777777" w:rsidR="00AB5AA2" w:rsidRDefault="00AB5AA2" w:rsidP="00AB5AA2">
            <w:pPr>
              <w:rPr>
                <w:rFonts w:ascii="Calibri" w:hAnsi="Calibri" w:cs="Calibri"/>
              </w:rPr>
            </w:pPr>
          </w:p>
          <w:p w14:paraId="51608874" w14:textId="77777777" w:rsidR="00AB5AA2" w:rsidRDefault="00AB5AA2" w:rsidP="00AB5AA2">
            <w:pPr>
              <w:rPr>
                <w:rFonts w:ascii="Calibri" w:hAnsi="Calibri" w:cs="Calibri"/>
              </w:rPr>
            </w:pPr>
            <w:r w:rsidRPr="00AB5AA2">
              <w:rPr>
                <w:rFonts w:ascii="Calibri" w:hAnsi="Calibri" w:cs="Calibri"/>
              </w:rPr>
              <w:t>If new appliances purchased under large procurement programs are intended to replace</w:t>
            </w:r>
            <w:r>
              <w:rPr>
                <w:rFonts w:ascii="Calibri" w:hAnsi="Calibri" w:cs="Calibri"/>
              </w:rPr>
              <w:t xml:space="preserve"> </w:t>
            </w:r>
            <w:r w:rsidRPr="00AB5AA2">
              <w:rPr>
                <w:rFonts w:ascii="Calibri" w:hAnsi="Calibri" w:cs="Calibri"/>
              </w:rPr>
              <w:t>equipment already in</w:t>
            </w:r>
            <w:r>
              <w:rPr>
                <w:rFonts w:ascii="Calibri" w:hAnsi="Calibri" w:cs="Calibri"/>
              </w:rPr>
              <w:t xml:space="preserve"> </w:t>
            </w:r>
            <w:r w:rsidRPr="00AB5AA2">
              <w:rPr>
                <w:rFonts w:ascii="Calibri" w:hAnsi="Calibri" w:cs="Calibri"/>
              </w:rPr>
              <w:t>use, it will be important to establish an appropriate take-back scheme,</w:t>
            </w:r>
            <w:r>
              <w:rPr>
                <w:rFonts w:ascii="Calibri" w:hAnsi="Calibri" w:cs="Calibri"/>
              </w:rPr>
              <w:t xml:space="preserve"> </w:t>
            </w:r>
            <w:r w:rsidRPr="00AB5AA2">
              <w:rPr>
                <w:rFonts w:ascii="Calibri" w:hAnsi="Calibri" w:cs="Calibri"/>
              </w:rPr>
              <w:t>to reduce the risk of old and inefficient</w:t>
            </w:r>
            <w:r>
              <w:rPr>
                <w:rFonts w:ascii="Calibri" w:hAnsi="Calibri" w:cs="Calibri"/>
              </w:rPr>
              <w:t xml:space="preserve"> </w:t>
            </w:r>
            <w:r w:rsidRPr="00AB5AA2">
              <w:rPr>
                <w:rFonts w:ascii="Calibri" w:hAnsi="Calibri" w:cs="Calibri"/>
              </w:rPr>
              <w:t>equipment entering a second hand market. In</w:t>
            </w:r>
            <w:r>
              <w:rPr>
                <w:rFonts w:ascii="Calibri" w:hAnsi="Calibri" w:cs="Calibri"/>
              </w:rPr>
              <w:t xml:space="preserve"> </w:t>
            </w:r>
            <w:r w:rsidRPr="00AB5AA2">
              <w:rPr>
                <w:rFonts w:ascii="Calibri" w:hAnsi="Calibri" w:cs="Calibri"/>
              </w:rPr>
              <w:t>addition, proper treatment and disposal of the used equipment</w:t>
            </w:r>
            <w:r>
              <w:rPr>
                <w:rFonts w:ascii="Calibri" w:hAnsi="Calibri" w:cs="Calibri"/>
              </w:rPr>
              <w:t xml:space="preserve"> </w:t>
            </w:r>
            <w:r w:rsidRPr="00AB5AA2">
              <w:rPr>
                <w:rFonts w:ascii="Calibri" w:hAnsi="Calibri" w:cs="Calibri"/>
              </w:rPr>
              <w:t>will reduce additional harmful environmental impacts.</w:t>
            </w:r>
          </w:p>
          <w:p w14:paraId="160284C0" w14:textId="77777777" w:rsidR="00AE4BC5" w:rsidRDefault="00AE4BC5" w:rsidP="00AB5AA2">
            <w:pPr>
              <w:rPr>
                <w:rFonts w:ascii="Calibri" w:hAnsi="Calibri" w:cs="Calibri"/>
              </w:rPr>
            </w:pPr>
          </w:p>
          <w:p w14:paraId="738C3342" w14:textId="77777777" w:rsidR="00AE4BC5" w:rsidRDefault="00AE4BC5" w:rsidP="00AB5AA2">
            <w:pPr>
              <w:rPr>
                <w:rFonts w:ascii="Calibri" w:hAnsi="Calibri" w:cs="Calibri"/>
              </w:rPr>
            </w:pPr>
            <w:r>
              <w:rPr>
                <w:rFonts w:ascii="Calibri" w:hAnsi="Calibri" w:cs="Calibri"/>
              </w:rPr>
              <w:t>Chapter 7.2 on Financing Options records the following:</w:t>
            </w:r>
          </w:p>
          <w:p w14:paraId="1D9EDBF4" w14:textId="77777777" w:rsidR="00AE4BC5" w:rsidRDefault="00AE4BC5" w:rsidP="00AB5AA2">
            <w:pPr>
              <w:rPr>
                <w:rFonts w:ascii="Calibri" w:hAnsi="Calibri" w:cs="Calibri"/>
              </w:rPr>
            </w:pPr>
          </w:p>
          <w:p w14:paraId="62E550E0" w14:textId="673A10DE" w:rsidR="00AE4BC5" w:rsidRPr="00AE4BC5" w:rsidRDefault="00AE4BC5" w:rsidP="00AE4BC5">
            <w:pPr>
              <w:rPr>
                <w:rFonts w:ascii="Calibri" w:hAnsi="Calibri" w:cs="Calibri"/>
              </w:rPr>
            </w:pPr>
            <w:r w:rsidRPr="00AE4BC5">
              <w:rPr>
                <w:rFonts w:ascii="Calibri" w:hAnsi="Calibri" w:cs="Calibri"/>
              </w:rPr>
              <w:t>Regarding local financing, Green Public Procurement, can be a very effective, relatively</w:t>
            </w:r>
            <w:r>
              <w:rPr>
                <w:rFonts w:ascii="Calibri" w:hAnsi="Calibri" w:cs="Calibri"/>
              </w:rPr>
              <w:t xml:space="preserve"> </w:t>
            </w:r>
            <w:r w:rsidRPr="00AE4BC5">
              <w:rPr>
                <w:rFonts w:ascii="Calibri" w:hAnsi="Calibri" w:cs="Calibri"/>
              </w:rPr>
              <w:t>uncomplicated and</w:t>
            </w:r>
            <w:r>
              <w:rPr>
                <w:rFonts w:ascii="Calibri" w:hAnsi="Calibri" w:cs="Calibri"/>
              </w:rPr>
              <w:t xml:space="preserve"> </w:t>
            </w:r>
            <w:r w:rsidRPr="00AE4BC5">
              <w:rPr>
                <w:rFonts w:ascii="Calibri" w:hAnsi="Calibri" w:cs="Calibri"/>
              </w:rPr>
              <w:t>easy to implement measure to locally initiate the transition to Green</w:t>
            </w:r>
            <w:r>
              <w:rPr>
                <w:rFonts w:ascii="Calibri" w:hAnsi="Calibri" w:cs="Calibri"/>
              </w:rPr>
              <w:t xml:space="preserve"> </w:t>
            </w:r>
            <w:r w:rsidRPr="00AE4BC5">
              <w:rPr>
                <w:rFonts w:ascii="Calibri" w:hAnsi="Calibri" w:cs="Calibri"/>
              </w:rPr>
              <w:t>Cooling alternatives. Government entities</w:t>
            </w:r>
            <w:r>
              <w:rPr>
                <w:rFonts w:ascii="Calibri" w:hAnsi="Calibri" w:cs="Calibri"/>
              </w:rPr>
              <w:t xml:space="preserve"> </w:t>
            </w:r>
            <w:r w:rsidRPr="00AE4BC5">
              <w:rPr>
                <w:rFonts w:ascii="Calibri" w:hAnsi="Calibri" w:cs="Calibri"/>
              </w:rPr>
              <w:t>can demonstrate early action and act as a role model for actors in the private sector. The existing government</w:t>
            </w:r>
            <w:r>
              <w:rPr>
                <w:rFonts w:ascii="Calibri" w:hAnsi="Calibri" w:cs="Calibri"/>
              </w:rPr>
              <w:t xml:space="preserve"> </w:t>
            </w:r>
            <w:r w:rsidRPr="00AE4BC5">
              <w:rPr>
                <w:rFonts w:ascii="Calibri" w:hAnsi="Calibri" w:cs="Calibri"/>
              </w:rPr>
              <w:t>procurement budgets can be used for the funding of measures.</w:t>
            </w:r>
          </w:p>
          <w:p w14:paraId="66DC3814" w14:textId="799395C7" w:rsidR="00AE4BC5" w:rsidRPr="00AE4BC5" w:rsidRDefault="00AE4BC5" w:rsidP="00AE4BC5">
            <w:pPr>
              <w:rPr>
                <w:rFonts w:ascii="Calibri" w:hAnsi="Calibri" w:cs="Calibri"/>
              </w:rPr>
            </w:pPr>
            <w:r w:rsidRPr="00AE4BC5">
              <w:rPr>
                <w:rFonts w:ascii="Calibri" w:hAnsi="Calibri" w:cs="Calibri"/>
              </w:rPr>
              <w:t>The procurement requirements for RAC appliances can be altered, so that only RAC</w:t>
            </w:r>
            <w:r>
              <w:rPr>
                <w:rFonts w:ascii="Calibri" w:hAnsi="Calibri" w:cs="Calibri"/>
              </w:rPr>
              <w:t xml:space="preserve"> </w:t>
            </w:r>
            <w:r w:rsidRPr="00AE4BC5">
              <w:rPr>
                <w:rFonts w:ascii="Calibri" w:hAnsi="Calibri" w:cs="Calibri"/>
              </w:rPr>
              <w:t>appliances meeting MEPS</w:t>
            </w:r>
            <w:r>
              <w:rPr>
                <w:rFonts w:ascii="Calibri" w:hAnsi="Calibri" w:cs="Calibri"/>
              </w:rPr>
              <w:t xml:space="preserve"> </w:t>
            </w:r>
            <w:r w:rsidRPr="00AE4BC5">
              <w:rPr>
                <w:rFonts w:ascii="Calibri" w:hAnsi="Calibri" w:cs="Calibri"/>
              </w:rPr>
              <w:t>and using low-GWP refrigerants (with a GWP &lt; 10) can be eligible.</w:t>
            </w:r>
            <w:r>
              <w:rPr>
                <w:rFonts w:ascii="Calibri" w:hAnsi="Calibri" w:cs="Calibri"/>
              </w:rPr>
              <w:t xml:space="preserve"> </w:t>
            </w:r>
            <w:r w:rsidRPr="00AE4BC5">
              <w:rPr>
                <w:rFonts w:ascii="Calibri" w:hAnsi="Calibri" w:cs="Calibri"/>
              </w:rPr>
              <w:t>There are several implementation options, i.e.</w:t>
            </w:r>
            <w:r>
              <w:rPr>
                <w:rFonts w:ascii="Calibri" w:hAnsi="Calibri" w:cs="Calibri"/>
              </w:rPr>
              <w:t xml:space="preserve"> </w:t>
            </w:r>
            <w:r w:rsidRPr="00AE4BC5">
              <w:rPr>
                <w:rFonts w:ascii="Calibri" w:hAnsi="Calibri" w:cs="Calibri"/>
              </w:rPr>
              <w:t>to start the programme in a certain test region or to initially focus on certain appliances only, i.e. chillers and</w:t>
            </w:r>
            <w:r>
              <w:rPr>
                <w:rFonts w:ascii="Calibri" w:hAnsi="Calibri" w:cs="Calibri"/>
              </w:rPr>
              <w:t xml:space="preserve"> </w:t>
            </w:r>
            <w:r w:rsidRPr="00AE4BC5">
              <w:rPr>
                <w:rFonts w:ascii="Calibri" w:hAnsi="Calibri" w:cs="Calibri"/>
              </w:rPr>
              <w:t>(light) industrial refrigeration.</w:t>
            </w:r>
          </w:p>
          <w:p w14:paraId="58C23FBD" w14:textId="764C8500" w:rsidR="00AE4BC5" w:rsidRPr="00AE4BC5" w:rsidRDefault="00AE4BC5" w:rsidP="00AE4BC5">
            <w:pPr>
              <w:rPr>
                <w:rFonts w:ascii="Calibri" w:hAnsi="Calibri" w:cs="Calibri"/>
              </w:rPr>
            </w:pPr>
            <w:r w:rsidRPr="00AE4BC5">
              <w:rPr>
                <w:rFonts w:ascii="Calibri" w:hAnsi="Calibri" w:cs="Calibri"/>
              </w:rPr>
              <w:lastRenderedPageBreak/>
              <w:t>The government can require procurement officers to procure products from an approved</w:t>
            </w:r>
            <w:r>
              <w:rPr>
                <w:rFonts w:ascii="Calibri" w:hAnsi="Calibri" w:cs="Calibri"/>
              </w:rPr>
              <w:t xml:space="preserve"> </w:t>
            </w:r>
            <w:r w:rsidRPr="00AE4BC5">
              <w:rPr>
                <w:rFonts w:ascii="Calibri" w:hAnsi="Calibri" w:cs="Calibri"/>
              </w:rPr>
              <w:t>product list. For the</w:t>
            </w:r>
            <w:r>
              <w:rPr>
                <w:rFonts w:ascii="Calibri" w:hAnsi="Calibri" w:cs="Calibri"/>
              </w:rPr>
              <w:t xml:space="preserve"> </w:t>
            </w:r>
            <w:r w:rsidRPr="00AE4BC5">
              <w:rPr>
                <w:rFonts w:ascii="Calibri" w:hAnsi="Calibri" w:cs="Calibri"/>
              </w:rPr>
              <w:t>RAC sector, these lists can specify refrigeration and AC appliances using</w:t>
            </w:r>
            <w:r>
              <w:rPr>
                <w:rFonts w:ascii="Calibri" w:hAnsi="Calibri" w:cs="Calibri"/>
              </w:rPr>
              <w:t xml:space="preserve"> </w:t>
            </w:r>
            <w:r w:rsidRPr="00AE4BC5">
              <w:rPr>
                <w:rFonts w:ascii="Calibri" w:hAnsi="Calibri" w:cs="Calibri"/>
              </w:rPr>
              <w:t>natural refrigerants with a GWP &lt;10</w:t>
            </w:r>
            <w:r>
              <w:rPr>
                <w:rFonts w:ascii="Calibri" w:hAnsi="Calibri" w:cs="Calibri"/>
              </w:rPr>
              <w:t xml:space="preserve"> </w:t>
            </w:r>
            <w:r w:rsidRPr="00AE4BC5">
              <w:rPr>
                <w:rFonts w:ascii="Calibri" w:hAnsi="Calibri" w:cs="Calibri"/>
              </w:rPr>
              <w:t>and meeting international best practices (such as</w:t>
            </w:r>
            <w:r>
              <w:rPr>
                <w:rFonts w:ascii="Calibri" w:hAnsi="Calibri" w:cs="Calibri"/>
              </w:rPr>
              <w:t xml:space="preserve"> </w:t>
            </w:r>
            <w:r w:rsidRPr="00AE4BC5">
              <w:rPr>
                <w:rFonts w:ascii="Calibri" w:hAnsi="Calibri" w:cs="Calibri"/>
              </w:rPr>
              <w:t>identified in the technology gap analysis). To allow a smooth</w:t>
            </w:r>
            <w:r>
              <w:rPr>
                <w:rFonts w:ascii="Calibri" w:hAnsi="Calibri" w:cs="Calibri"/>
              </w:rPr>
              <w:t xml:space="preserve"> </w:t>
            </w:r>
            <w:r w:rsidRPr="00AE4BC5">
              <w:rPr>
                <w:rFonts w:ascii="Calibri" w:hAnsi="Calibri" w:cs="Calibri"/>
              </w:rPr>
              <w:t>transition from conventional to</w:t>
            </w:r>
            <w:r>
              <w:rPr>
                <w:rFonts w:ascii="Calibri" w:hAnsi="Calibri" w:cs="Calibri"/>
              </w:rPr>
              <w:t xml:space="preserve"> </w:t>
            </w:r>
            <w:r w:rsidRPr="00AE4BC5">
              <w:rPr>
                <w:rFonts w:ascii="Calibri" w:hAnsi="Calibri" w:cs="Calibri"/>
              </w:rPr>
              <w:t>more climate-friendly products, the procurement requirements can be gradually</w:t>
            </w:r>
            <w:r>
              <w:rPr>
                <w:rFonts w:ascii="Calibri" w:hAnsi="Calibri" w:cs="Calibri"/>
              </w:rPr>
              <w:t xml:space="preserve"> </w:t>
            </w:r>
            <w:r w:rsidRPr="00AE4BC5">
              <w:rPr>
                <w:rFonts w:ascii="Calibri" w:hAnsi="Calibri" w:cs="Calibri"/>
              </w:rPr>
              <w:t>increased, i.e. with phase-in steps from 25%, 50%, 75% to 100%.</w:t>
            </w:r>
          </w:p>
          <w:p w14:paraId="6854CBB2" w14:textId="6F03EA18" w:rsidR="00AE4BC5" w:rsidRPr="00AE4BC5" w:rsidRDefault="00AE4BC5" w:rsidP="00AE4BC5">
            <w:pPr>
              <w:rPr>
                <w:rFonts w:ascii="Calibri" w:hAnsi="Calibri" w:cs="Calibri"/>
              </w:rPr>
            </w:pPr>
            <w:r w:rsidRPr="00AE4BC5">
              <w:rPr>
                <w:rFonts w:ascii="Calibri" w:hAnsi="Calibri" w:cs="Calibri"/>
              </w:rPr>
              <w:t>Other feasible measures which show an affordable administrative complexity, and which do</w:t>
            </w:r>
            <w:r>
              <w:rPr>
                <w:rFonts w:ascii="Calibri" w:hAnsi="Calibri" w:cs="Calibri"/>
              </w:rPr>
              <w:t xml:space="preserve"> </w:t>
            </w:r>
            <w:r w:rsidRPr="00AE4BC5">
              <w:rPr>
                <w:rFonts w:ascii="Calibri" w:hAnsi="Calibri" w:cs="Calibri"/>
              </w:rPr>
              <w:t>not require extensive</w:t>
            </w:r>
            <w:r>
              <w:rPr>
                <w:rFonts w:ascii="Calibri" w:hAnsi="Calibri" w:cs="Calibri"/>
              </w:rPr>
              <w:t xml:space="preserve"> </w:t>
            </w:r>
            <w:r w:rsidRPr="00AE4BC5">
              <w:rPr>
                <w:rFonts w:ascii="Calibri" w:hAnsi="Calibri" w:cs="Calibri"/>
              </w:rPr>
              <w:t>scale, can be a tax and/or rebate scheme, i.e. on certain refrigerants.</w:t>
            </w:r>
            <w:r>
              <w:rPr>
                <w:rFonts w:ascii="Calibri" w:hAnsi="Calibri" w:cs="Calibri"/>
              </w:rPr>
              <w:t xml:space="preserve"> </w:t>
            </w:r>
            <w:r w:rsidRPr="00AE4BC5">
              <w:rPr>
                <w:rFonts w:ascii="Calibri" w:hAnsi="Calibri" w:cs="Calibri"/>
              </w:rPr>
              <w:t>Also, levies could be established on</w:t>
            </w:r>
            <w:r>
              <w:rPr>
                <w:rFonts w:ascii="Calibri" w:hAnsi="Calibri" w:cs="Calibri"/>
              </w:rPr>
              <w:t xml:space="preserve"> </w:t>
            </w:r>
            <w:r w:rsidRPr="00AE4BC5">
              <w:rPr>
                <w:rFonts w:ascii="Calibri" w:hAnsi="Calibri" w:cs="Calibri"/>
              </w:rPr>
              <w:t>the electricity consumption and to feed a national EE fund. The EE fund would be used in turn to provide incentives</w:t>
            </w:r>
            <w:r>
              <w:rPr>
                <w:rFonts w:ascii="Calibri" w:hAnsi="Calibri" w:cs="Calibri"/>
              </w:rPr>
              <w:t xml:space="preserve"> </w:t>
            </w:r>
            <w:r w:rsidRPr="00AE4BC5">
              <w:rPr>
                <w:rFonts w:ascii="Calibri" w:hAnsi="Calibri" w:cs="Calibri"/>
              </w:rPr>
              <w:t>only for top-labelled products.</w:t>
            </w:r>
            <w:r>
              <w:rPr>
                <w:rFonts w:ascii="Calibri" w:hAnsi="Calibri" w:cs="Calibri"/>
              </w:rPr>
              <w:t xml:space="preserve"> </w:t>
            </w:r>
            <w:r w:rsidRPr="00AE4BC5">
              <w:rPr>
                <w:rFonts w:ascii="Calibri" w:hAnsi="Calibri" w:cs="Calibri"/>
              </w:rPr>
              <w:t>International concessional funding could be established initially for the</w:t>
            </w:r>
            <w:r>
              <w:rPr>
                <w:rFonts w:ascii="Calibri" w:hAnsi="Calibri" w:cs="Calibri"/>
              </w:rPr>
              <w:t xml:space="preserve"> </w:t>
            </w:r>
            <w:r w:rsidRPr="00AE4BC5">
              <w:rPr>
                <w:rFonts w:ascii="Calibri" w:hAnsi="Calibri" w:cs="Calibri"/>
              </w:rPr>
              <w:t>introduction of such</w:t>
            </w:r>
            <w:r>
              <w:rPr>
                <w:rFonts w:ascii="Calibri" w:hAnsi="Calibri" w:cs="Calibri"/>
              </w:rPr>
              <w:t xml:space="preserve"> </w:t>
            </w:r>
            <w:r w:rsidRPr="00AE4BC5">
              <w:rPr>
                <w:rFonts w:ascii="Calibri" w:hAnsi="Calibri" w:cs="Calibri"/>
              </w:rPr>
              <w:t>sustainable, national financing schemes.</w:t>
            </w:r>
          </w:p>
          <w:p w14:paraId="5048123B" w14:textId="35462399" w:rsidR="00AE4BC5" w:rsidRPr="00AE4BC5" w:rsidRDefault="00AE4BC5" w:rsidP="00AE4BC5">
            <w:pPr>
              <w:rPr>
                <w:rFonts w:ascii="Calibri" w:hAnsi="Calibri" w:cs="Calibri"/>
              </w:rPr>
            </w:pPr>
            <w:r w:rsidRPr="00AE4BC5">
              <w:rPr>
                <w:rFonts w:ascii="Calibri" w:hAnsi="Calibri" w:cs="Calibri"/>
              </w:rPr>
              <w:t>The taxation of HFC refrigerants are ideally based on their GWP content. As nearly all high</w:t>
            </w:r>
            <w:r>
              <w:rPr>
                <w:rFonts w:ascii="Calibri" w:hAnsi="Calibri" w:cs="Calibri"/>
              </w:rPr>
              <w:t xml:space="preserve"> </w:t>
            </w:r>
            <w:r w:rsidRPr="00AE4BC5">
              <w:rPr>
                <w:rFonts w:ascii="Calibri" w:hAnsi="Calibri" w:cs="Calibri"/>
              </w:rPr>
              <w:t>GWP refrigerants</w:t>
            </w:r>
            <w:r>
              <w:rPr>
                <w:rFonts w:ascii="Calibri" w:hAnsi="Calibri" w:cs="Calibri"/>
              </w:rPr>
              <w:t xml:space="preserve"> </w:t>
            </w:r>
            <w:r w:rsidRPr="00AE4BC5">
              <w:rPr>
                <w:rFonts w:ascii="Calibri" w:hAnsi="Calibri" w:cs="Calibri"/>
              </w:rPr>
              <w:t>and pre-charged refrigerants in RAC appliances are imported, such taxes can</w:t>
            </w:r>
            <w:r>
              <w:rPr>
                <w:rFonts w:ascii="Calibri" w:hAnsi="Calibri" w:cs="Calibri"/>
              </w:rPr>
              <w:t xml:space="preserve"> </w:t>
            </w:r>
            <w:r w:rsidRPr="00AE4BC5">
              <w:rPr>
                <w:rFonts w:ascii="Calibri" w:hAnsi="Calibri" w:cs="Calibri"/>
              </w:rPr>
              <w:t>be raised at the time of import.</w:t>
            </w:r>
          </w:p>
          <w:p w14:paraId="02047A08" w14:textId="00466B22" w:rsidR="00AE4BC5" w:rsidRPr="00610F28" w:rsidRDefault="00AE4BC5" w:rsidP="00AE4BC5">
            <w:pPr>
              <w:rPr>
                <w:rFonts w:ascii="Calibri" w:hAnsi="Calibri" w:cs="Calibri"/>
              </w:rPr>
            </w:pPr>
            <w:r w:rsidRPr="00AE4BC5">
              <w:rPr>
                <w:rFonts w:ascii="Calibri" w:hAnsi="Calibri" w:cs="Calibri"/>
              </w:rPr>
              <w:t>The funds raised can be effectively diverted into incentive schemes to promote green RAC</w:t>
            </w:r>
            <w:r>
              <w:rPr>
                <w:rFonts w:ascii="Calibri" w:hAnsi="Calibri" w:cs="Calibri"/>
              </w:rPr>
              <w:t xml:space="preserve"> </w:t>
            </w:r>
            <w:r w:rsidRPr="00AE4BC5">
              <w:rPr>
                <w:rFonts w:ascii="Calibri" w:hAnsi="Calibri" w:cs="Calibri"/>
              </w:rPr>
              <w:t>appliances, such as</w:t>
            </w:r>
            <w:r>
              <w:rPr>
                <w:rFonts w:ascii="Calibri" w:hAnsi="Calibri" w:cs="Calibri"/>
              </w:rPr>
              <w:t xml:space="preserve"> </w:t>
            </w:r>
            <w:r w:rsidRPr="00AE4BC5">
              <w:rPr>
                <w:rFonts w:ascii="Calibri" w:hAnsi="Calibri" w:cs="Calibri"/>
              </w:rPr>
              <w:t>in Green Public Procurement schemes. The higher charges for high-GWP</w:t>
            </w:r>
            <w:r>
              <w:rPr>
                <w:rFonts w:ascii="Calibri" w:hAnsi="Calibri" w:cs="Calibri"/>
              </w:rPr>
              <w:t xml:space="preserve"> </w:t>
            </w:r>
            <w:r w:rsidRPr="00AE4BC5">
              <w:rPr>
                <w:rFonts w:ascii="Calibri" w:hAnsi="Calibri" w:cs="Calibri"/>
              </w:rPr>
              <w:t>refrigerants and rebates for low-GWP</w:t>
            </w:r>
            <w:r>
              <w:rPr>
                <w:rFonts w:ascii="Calibri" w:hAnsi="Calibri" w:cs="Calibri"/>
              </w:rPr>
              <w:t xml:space="preserve"> </w:t>
            </w:r>
            <w:r w:rsidRPr="00AE4BC5">
              <w:rPr>
                <w:rFonts w:ascii="Calibri" w:hAnsi="Calibri" w:cs="Calibri"/>
              </w:rPr>
              <w:t>refrigerants will signal market participants to accelerate</w:t>
            </w:r>
            <w:r>
              <w:rPr>
                <w:rFonts w:ascii="Calibri" w:hAnsi="Calibri" w:cs="Calibri"/>
              </w:rPr>
              <w:t xml:space="preserve"> </w:t>
            </w:r>
            <w:r w:rsidRPr="00AE4BC5">
              <w:rPr>
                <w:rFonts w:ascii="Calibri" w:hAnsi="Calibri" w:cs="Calibri"/>
              </w:rPr>
              <w:t>the transit to low-GWP options. Such transitions can</w:t>
            </w:r>
            <w:r>
              <w:rPr>
                <w:rFonts w:ascii="Calibri" w:hAnsi="Calibri" w:cs="Calibri"/>
              </w:rPr>
              <w:t xml:space="preserve"> </w:t>
            </w:r>
            <w:r w:rsidRPr="00AE4BC5">
              <w:rPr>
                <w:rFonts w:ascii="Calibri" w:hAnsi="Calibri" w:cs="Calibri"/>
              </w:rPr>
              <w:t>take place well ahead of the first</w:t>
            </w:r>
            <w:r>
              <w:rPr>
                <w:rFonts w:ascii="Calibri" w:hAnsi="Calibri" w:cs="Calibri"/>
              </w:rPr>
              <w:t xml:space="preserve"> </w:t>
            </w:r>
            <w:r w:rsidRPr="00AE4BC5">
              <w:rPr>
                <w:rFonts w:ascii="Calibri" w:hAnsi="Calibri" w:cs="Calibri"/>
              </w:rPr>
              <w:t>mitigation step of 10% in 2029 as it has been agreed in the Kigali Amendment.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50D88DD8" w:rsidR="00DF50B5" w:rsidRPr="00610F28" w:rsidRDefault="00857E37"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1EC683BE" w:rsidR="00DF50B5" w:rsidRPr="00610F28" w:rsidRDefault="00857E37"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lastRenderedPageBreak/>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40B8D58F" w:rsidR="00DF50B5" w:rsidRPr="00610F28" w:rsidRDefault="00857E37"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B3F1FB8" w:rsidR="00A56BE5" w:rsidRPr="00971C0E" w:rsidRDefault="00857E3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56DD9B1" w:rsidR="00A56BE5" w:rsidRPr="00971C0E" w:rsidRDefault="00857E3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8EF0A61" w:rsidR="00A56BE5" w:rsidRPr="00971C0E" w:rsidRDefault="00857E3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304A83F" w:rsidR="008A4685" w:rsidRPr="00610F28" w:rsidRDefault="00AE4BC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4B72252" w:rsidR="008A4685" w:rsidRPr="00610F28" w:rsidRDefault="00AE4BC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60AC8ECA" w:rsidR="008A4685" w:rsidRPr="00610F28" w:rsidRDefault="00AE4BC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0D33C8F" w:rsidR="008A4685" w:rsidRPr="00610F28" w:rsidRDefault="00A9172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2C71CB4" w:rsidR="008A4685" w:rsidRPr="00610F28" w:rsidRDefault="00A9172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BA50ED0" w:rsidR="008A4685" w:rsidRPr="00610F28" w:rsidRDefault="00A9172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66363147"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14B854A"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9455187"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355ACBD"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lastRenderedPageBreak/>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8D0C2E0"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3BD0DABA"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663D2C2"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4C82C9F1"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E99375D"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6EDD149"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5089F605"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57B004FE"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6BC62B0"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5422A851"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45B29280"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53F05325"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186E20E3" w:rsidR="008A468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8F91D3B" w:rsidR="00483D65" w:rsidRPr="00CF2E7C" w:rsidRDefault="00A917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Refer to discussion on chapters 3.3.4 and 7.2</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A4C8FF6" w:rsidR="009A5C4E" w:rsidRPr="0074258C" w:rsidRDefault="00A91727"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lastRenderedPageBreak/>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263B9F0B" w:rsidR="009A5C4E" w:rsidRPr="0074258C" w:rsidRDefault="00A91727"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58513832" w:rsidR="009A5C4E" w:rsidRDefault="00A91727" w:rsidP="00CF2E7C">
            <w:pPr>
              <w:rPr>
                <w:rStyle w:val="normaltextrun"/>
                <w:rFonts w:ascii="Mulish" w:hAnsi="Mulish"/>
                <w:color w:val="000000"/>
                <w:sz w:val="22"/>
                <w:szCs w:val="22"/>
                <w:shd w:val="clear" w:color="auto" w:fill="FFFFFF"/>
                <w:lang w:val="en-US"/>
              </w:rPr>
            </w:pPr>
            <w:r>
              <w:rPr>
                <w:rStyle w:val="normaltextrun"/>
                <w:rFonts w:ascii="Calibri" w:hAnsi="Calibri" w:cs="Calibri"/>
                <w:color w:val="000000"/>
                <w:shd w:val="clear" w:color="auto" w:fill="FFFFFF"/>
                <w:lang w:val="en-US"/>
              </w:rPr>
              <w:t>Refer to discussion on chapters 3.3.4 and 7.2</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12CAB024" w:rsidR="007802C6" w:rsidRPr="00CF2E7C" w:rsidRDefault="00A91727" w:rsidP="00CF2E7C">
            <w:pPr>
              <w:rPr>
                <w:rFonts w:ascii="Calibri" w:hAnsi="Calibri" w:cs="Calibri"/>
              </w:rPr>
            </w:pPr>
            <w:r>
              <w:rPr>
                <w:rFonts w:ascii="Calibri" w:hAnsi="Calibri" w:cs="Calibri"/>
              </w:rPr>
              <w:t>X</w:t>
            </w:r>
          </w:p>
        </w:tc>
        <w:tc>
          <w:tcPr>
            <w:tcW w:w="1716" w:type="dxa"/>
            <w:vAlign w:val="center"/>
          </w:tcPr>
          <w:p w14:paraId="50C99CE9" w14:textId="04D3FDD8"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393CF400" w:rsidR="007802C6" w:rsidRPr="00CF2E7C" w:rsidRDefault="007802C6" w:rsidP="00CF2E7C">
            <w:pPr>
              <w:rPr>
                <w:rFonts w:ascii="Calibri" w:hAnsi="Calibri" w:cs="Calibri"/>
              </w:rPr>
            </w:pPr>
          </w:p>
        </w:tc>
        <w:tc>
          <w:tcPr>
            <w:tcW w:w="1715" w:type="dxa"/>
            <w:vAlign w:val="center"/>
          </w:tcPr>
          <w:p w14:paraId="75DC8492" w14:textId="53BDF3C0" w:rsidR="007802C6" w:rsidRPr="00CF2E7C" w:rsidRDefault="00A91727" w:rsidP="00CF2E7C">
            <w:pPr>
              <w:rPr>
                <w:rFonts w:ascii="Calibri" w:hAnsi="Calibri" w:cs="Calibri"/>
              </w:rPr>
            </w:pPr>
            <w:r>
              <w:rPr>
                <w:rFonts w:ascii="Calibri" w:hAnsi="Calibri" w:cs="Calibri"/>
              </w:rPr>
              <w:t>X</w:t>
            </w:r>
          </w:p>
        </w:tc>
        <w:tc>
          <w:tcPr>
            <w:tcW w:w="1716" w:type="dxa"/>
            <w:vAlign w:val="center"/>
          </w:tcPr>
          <w:p w14:paraId="06AE2DA8" w14:textId="4BE7B2FF"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6083CFC" w:rsidR="007802C6" w:rsidRPr="00CF2E7C" w:rsidRDefault="00A91727"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5188304" w:rsidR="007802C6" w:rsidRPr="00CF2E7C" w:rsidRDefault="00A91727"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866E068" w:rsidR="007802C6" w:rsidRPr="00CF2E7C" w:rsidRDefault="00A91727"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DBBD936" w:rsidR="007802C6" w:rsidRPr="00CF2E7C" w:rsidRDefault="00A91727"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A88C7E1" w:rsidR="007802C6" w:rsidRPr="00CF2E7C" w:rsidRDefault="00A91727"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C68E5B8" w:rsidR="007802C6" w:rsidRPr="00CF2E7C" w:rsidRDefault="00A91727"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F419BA9" w:rsidR="007802C6" w:rsidRPr="00CF2E7C" w:rsidRDefault="00A91727"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DC0BCAD" w:rsidR="007802C6" w:rsidRPr="00CF2E7C" w:rsidRDefault="00A91727"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D6928A" w:rsidR="007802C6" w:rsidRPr="00CF2E7C" w:rsidRDefault="00A91727"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613457C" w:rsidR="007802C6" w:rsidRPr="00CF2E7C" w:rsidRDefault="00A91727"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C5DA401" w:rsidR="007802C6" w:rsidRPr="00CF2E7C" w:rsidRDefault="00A91727"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F697ACC" w:rsidR="007802C6" w:rsidRPr="00CF2E7C" w:rsidRDefault="00A91727"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C98EC68" w:rsidR="007802C6" w:rsidRPr="00CF2E7C" w:rsidRDefault="00A91727"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7D66BC1" w:rsidR="007802C6" w:rsidRPr="00CF2E7C" w:rsidRDefault="00A91727"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1B214D7" w:rsidR="007802C6" w:rsidRPr="00CF2E7C" w:rsidRDefault="00A91727"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7F070F4" w:rsidR="007802C6" w:rsidRPr="00CF2E7C" w:rsidRDefault="00A91727"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E2A1010" w:rsidR="007802C6" w:rsidRPr="00CF2E7C" w:rsidRDefault="00A91727"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EB72455" w:rsidR="007802C6" w:rsidRPr="00CF2E7C" w:rsidRDefault="00A91727"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E0AE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E0AE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2E0A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45C78B" w14:textId="77777777" w:rsidR="00155012" w:rsidRDefault="00155012" w:rsidP="00874E39">
      <w:r>
        <w:separator/>
      </w:r>
    </w:p>
  </w:endnote>
  <w:endnote w:type="continuationSeparator" w:id="0">
    <w:p w14:paraId="7B05BA0F" w14:textId="77777777" w:rsidR="00155012" w:rsidRDefault="00155012" w:rsidP="00874E39">
      <w:r>
        <w:continuationSeparator/>
      </w:r>
    </w:p>
  </w:endnote>
  <w:endnote w:type="continuationNotice" w:id="1">
    <w:p w14:paraId="4C3F3561" w14:textId="77777777" w:rsidR="00155012" w:rsidRDefault="001550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56C204" w14:textId="77777777" w:rsidR="00155012" w:rsidRDefault="00155012" w:rsidP="00874E39">
      <w:r>
        <w:separator/>
      </w:r>
    </w:p>
  </w:footnote>
  <w:footnote w:type="continuationSeparator" w:id="0">
    <w:p w14:paraId="3DC81417" w14:textId="77777777" w:rsidR="00155012" w:rsidRDefault="00155012" w:rsidP="00874E39">
      <w:r>
        <w:continuationSeparator/>
      </w:r>
    </w:p>
  </w:footnote>
  <w:footnote w:type="continuationNotice" w:id="1">
    <w:p w14:paraId="01A1EEA4" w14:textId="77777777" w:rsidR="00155012" w:rsidRDefault="001550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C031757"/>
    <w:multiLevelType w:val="hybridMultilevel"/>
    <w:tmpl w:val="4FFA7F60"/>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1B1434"/>
    <w:multiLevelType w:val="hybridMultilevel"/>
    <w:tmpl w:val="FDFEC718"/>
    <w:lvl w:ilvl="0" w:tplc="E45A084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89340517">
    <w:abstractNumId w:val="15"/>
  </w:num>
  <w:num w:numId="50" w16cid:durableId="639463854">
    <w:abstractNumId w:val="2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304"/>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012"/>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3F78"/>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18C"/>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DEC"/>
    <w:rsid w:val="002E7BF5"/>
    <w:rsid w:val="002F0752"/>
    <w:rsid w:val="002F1ABB"/>
    <w:rsid w:val="002F1B83"/>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E90"/>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C60"/>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2DA"/>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37D"/>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BB9"/>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2F1"/>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D8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E37"/>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5CF7"/>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727"/>
    <w:rsid w:val="00A93112"/>
    <w:rsid w:val="00A932DE"/>
    <w:rsid w:val="00A9656E"/>
    <w:rsid w:val="00AA186B"/>
    <w:rsid w:val="00AA38F6"/>
    <w:rsid w:val="00AA4965"/>
    <w:rsid w:val="00AA6DDB"/>
    <w:rsid w:val="00AB0830"/>
    <w:rsid w:val="00AB2CCC"/>
    <w:rsid w:val="00AB4F2C"/>
    <w:rsid w:val="00AB5AA2"/>
    <w:rsid w:val="00AB64F8"/>
    <w:rsid w:val="00AC6ECF"/>
    <w:rsid w:val="00AC7B6B"/>
    <w:rsid w:val="00AD1216"/>
    <w:rsid w:val="00AD1BC7"/>
    <w:rsid w:val="00AD26E6"/>
    <w:rsid w:val="00AD4477"/>
    <w:rsid w:val="00AD4F51"/>
    <w:rsid w:val="00AD5285"/>
    <w:rsid w:val="00AD54D3"/>
    <w:rsid w:val="00AD70E0"/>
    <w:rsid w:val="00AE0028"/>
    <w:rsid w:val="00AE00FE"/>
    <w:rsid w:val="00AE0451"/>
    <w:rsid w:val="00AE0803"/>
    <w:rsid w:val="00AE0A0E"/>
    <w:rsid w:val="00AE0ADB"/>
    <w:rsid w:val="00AE2662"/>
    <w:rsid w:val="00AE3CBD"/>
    <w:rsid w:val="00AE4BC5"/>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B18"/>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042"/>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722"/>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17C71"/>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40A"/>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113</Pages>
  <Words>22787</Words>
  <Characters>129889</Characters>
  <Application>Microsoft Office Word</Application>
  <DocSecurity>0</DocSecurity>
  <Lines>1082</Lines>
  <Paragraphs>304</Paragraphs>
  <ScaleCrop>false</ScaleCrop>
  <Company/>
  <LinksUpToDate>false</LinksUpToDate>
  <CharactersWithSpaces>152372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15</cp:revision>
  <cp:lastPrinted>2025-03-21T00:14:00Z</cp:lastPrinted>
  <dcterms:created xsi:type="dcterms:W3CDTF">2025-07-19T12:38:00Z</dcterms:created>
  <dcterms:modified xsi:type="dcterms:W3CDTF">2025-07-19T13:09:00Z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